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60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5941695</wp:posOffset>
            </wp:positionH>
            <wp:positionV relativeFrom="page">
              <wp:posOffset>378460</wp:posOffset>
            </wp:positionV>
            <wp:extent cx="1466850" cy="299656"/>
            <wp:effectExtent b="0" l="0" r="0" t="0"/>
            <wp:wrapNone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99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426719</wp:posOffset>
            </wp:positionV>
            <wp:extent cx="1445260" cy="289471"/>
            <wp:effectExtent b="0" l="0" r="0" t="0"/>
            <wp:wrapNone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894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182245</wp:posOffset>
            </wp:positionH>
            <wp:positionV relativeFrom="topMargin">
              <wp:align>bottom</wp:align>
            </wp:positionV>
            <wp:extent cx="1019421" cy="680736"/>
            <wp:effectExtent b="0" l="0" r="0" t="0"/>
            <wp:wrapNone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421" cy="6807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Konferencia összefoglaló</w:t>
      </w:r>
    </w:p>
    <w:p w:rsidR="00000000" w:rsidDel="00000000" w:rsidP="00000000" w:rsidRDefault="00000000" w:rsidRPr="00000000" w14:paraId="00000002">
      <w:pPr>
        <w:spacing w:line="276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XLIV. Kémiai Előadói Napok (online; Magyarország), 2021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Szathmári Balázs</w:t>
        <w:br w:type="textWrapping"/>
        <w:t xml:space="preserve">Diketonáto-szilol komplexek előállítása és analitikai vizsgálata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Szabó Renáta</w:t>
        <w:br w:type="textWrapping"/>
        <w:t xml:space="preserve">Elemi kén alkalmazása multikomponensű reakciókban</w:t>
      </w:r>
    </w:p>
    <w:p w:rsidR="00000000" w:rsidDel="00000000" w:rsidP="00000000" w:rsidRDefault="00000000" w:rsidRPr="00000000" w14:paraId="00000005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4792500" cy="4489177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5441" l="27856" r="32406" t="28392"/>
                    <a:stretch>
                      <a:fillRect/>
                    </a:stretch>
                  </pic:blipFill>
                  <pic:spPr>
                    <a:xfrm>
                      <a:off x="0" y="0"/>
                      <a:ext cx="4792500" cy="448917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371475</wp:posOffset>
            </wp:positionH>
            <wp:positionV relativeFrom="paragraph">
              <wp:posOffset>4371975</wp:posOffset>
            </wp:positionV>
            <wp:extent cx="4714875" cy="2538095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14282" l="26865" r="31909" t="46292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538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1047750</wp:posOffset>
            </wp:positionH>
            <wp:positionV relativeFrom="paragraph">
              <wp:posOffset>219075</wp:posOffset>
            </wp:positionV>
            <wp:extent cx="4210368" cy="4229164"/>
            <wp:effectExtent b="0" l="0" r="0" t="0"/>
            <wp:wrapNone/>
            <wp:docPr id="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2217" l="28683" r="34329" t="21627"/>
                    <a:stretch>
                      <a:fillRect/>
                    </a:stretch>
                  </pic:blipFill>
                  <pic:spPr>
                    <a:xfrm>
                      <a:off x="0" y="0"/>
                      <a:ext cx="4210368" cy="42291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1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jc w:val="left"/>
        <w:rPr>
          <w:rFonts w:ascii="Arial" w:cs="Arial" w:eastAsia="Arial" w:hAnsi="Arial"/>
          <w:b w:val="0"/>
          <w:color w:val="36654f"/>
          <w:sz w:val="45"/>
          <w:szCs w:val="4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5833745</wp:posOffset>
            </wp:positionH>
            <wp:positionV relativeFrom="page">
              <wp:posOffset>296545</wp:posOffset>
            </wp:positionV>
            <wp:extent cx="1466850" cy="299656"/>
            <wp:effectExtent b="0" l="0" r="0" t="0"/>
            <wp:wrapNone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996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margin">
              <wp:posOffset>1993900</wp:posOffset>
            </wp:positionH>
            <wp:positionV relativeFrom="page">
              <wp:posOffset>321945</wp:posOffset>
            </wp:positionV>
            <wp:extent cx="1445260" cy="289471"/>
            <wp:effectExtent b="0" l="0" r="0" t="0"/>
            <wp:wrapNone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28947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245745</wp:posOffset>
            </wp:positionH>
            <wp:positionV relativeFrom="topMargin">
              <wp:align>bottom</wp:align>
            </wp:positionV>
            <wp:extent cx="1019421" cy="680736"/>
            <wp:effectExtent b="0" l="0" r="0" t="0"/>
            <wp:wrapNone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19421" cy="68073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XXVII. Nemzetközi Vegyészkonferencia (online, Románia), 2021. október 29.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20" w:before="220" w:line="312" w:lineRule="auto"/>
        <w:rPr>
          <w:rFonts w:ascii="Arial" w:cs="Arial" w:eastAsia="Arial" w:hAnsi="Arial"/>
          <w:color w:val="333333"/>
          <w:sz w:val="23"/>
          <w:szCs w:val="23"/>
          <w:highlight w:val="white"/>
        </w:rPr>
      </w:pPr>
      <w:r w:rsidDel="00000000" w:rsidR="00000000" w:rsidRPr="00000000">
        <w:rPr>
          <w:rFonts w:ascii="Arial" w:cs="Arial" w:eastAsia="Arial" w:hAnsi="Arial"/>
          <w:i w:val="1"/>
          <w:color w:val="00000a"/>
          <w:sz w:val="24"/>
          <w:szCs w:val="24"/>
          <w:highlight w:val="white"/>
          <w:rtl w:val="0"/>
        </w:rPr>
        <w:t xml:space="preserve">A konferencia programja:</w:t>
      </w:r>
      <w:r w:rsidDel="00000000" w:rsidR="00000000" w:rsidRPr="00000000">
        <w:rPr>
          <w:rFonts w:ascii="Arial" w:cs="Arial" w:eastAsia="Arial" w:hAnsi="Arial"/>
          <w:color w:val="333333"/>
          <w:sz w:val="23"/>
          <w:szCs w:val="23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konferencia megnyitó – </w:t>
      </w:r>
      <w:hyperlink r:id="rId12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plenáris előadások – </w:t>
      </w:r>
      <w:hyperlink r:id="rId13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220" w:before="100" w:line="312" w:lineRule="auto"/>
        <w:ind w:left="3000" w:hanging="8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szünet</w:t>
      </w:r>
    </w:p>
    <w:p w:rsidR="00000000" w:rsidDel="00000000" w:rsidP="00000000" w:rsidRDefault="00000000" w:rsidRPr="00000000" w14:paraId="00000025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30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doktorandusz plénum I. – </w:t>
      </w:r>
      <w:hyperlink r:id="rId14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      </w:t>
        <w:tab/>
        <w:t xml:space="preserve">doktorandusz plénum II. – </w:t>
      </w:r>
      <w:hyperlink r:id="rId15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II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20" w:before="100" w:line="312" w:lineRule="auto"/>
        <w:ind w:left="3000" w:hanging="86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14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ebédszünet</w:t>
      </w:r>
    </w:p>
    <w:p w:rsidR="00000000" w:rsidDel="00000000" w:rsidP="00000000" w:rsidRDefault="00000000" w:rsidRPr="00000000" w14:paraId="00000028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szekció-előadások I. – </w:t>
      </w:r>
      <w:hyperlink r:id="rId16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      </w:t>
        <w:tab/>
        <w:t xml:space="preserve">szekció-előadások II. – </w:t>
      </w:r>
      <w:hyperlink r:id="rId17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II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15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diák-poszter szekció  – </w:t>
      </w:r>
      <w:hyperlink r:id="rId18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III.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20" w:before="100" w:line="312" w:lineRule="auto"/>
        <w:ind w:left="2160" w:firstLine="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17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poszter szekció  – </w:t>
      </w:r>
      <w:hyperlink r:id="rId19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III.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20" w:before="100" w:line="312" w:lineRule="auto"/>
        <w:ind w:left="3000" w:hanging="860"/>
        <w:rPr>
          <w:rFonts w:ascii="Arial" w:cs="Arial" w:eastAsia="Arial" w:hAnsi="Arial"/>
          <w:color w:val="49796b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sz w:val="18"/>
          <w:szCs w:val="18"/>
          <w:highlight w:val="white"/>
          <w:rtl w:val="0"/>
        </w:rPr>
        <w:t xml:space="preserve">00</w:t>
      </w: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 xml:space="preserve">  </w:t>
        <w:tab/>
        <w:t xml:space="preserve">díjak átadása – </w:t>
      </w:r>
      <w:hyperlink r:id="rId20">
        <w:r w:rsidDel="00000000" w:rsidR="00000000" w:rsidRPr="00000000">
          <w:rPr>
            <w:rFonts w:ascii="Arial" w:cs="Arial" w:eastAsia="Arial" w:hAnsi="Arial"/>
            <w:color w:val="49796b"/>
            <w:sz w:val="24"/>
            <w:szCs w:val="24"/>
            <w:highlight w:val="white"/>
            <w:rtl w:val="0"/>
          </w:rPr>
          <w:t xml:space="preserve">I. terem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20" w:before="100" w:line="312" w:lineRule="auto"/>
        <w:ind w:left="0" w:firstLine="0"/>
        <w:rPr>
          <w:rFonts w:ascii="Arial" w:cs="Arial" w:eastAsia="Arial" w:hAnsi="Arial"/>
          <w:sz w:val="24"/>
          <w:szCs w:val="24"/>
          <w:highlight w:val="white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highlight w:val="white"/>
          <w:rtl w:val="0"/>
        </w:rPr>
        <w:tab/>
        <w:t xml:space="preserve">A konferencia zárása (kiértékelés, beszélgetés, javaslatok)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Szathmári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Balázs</w:t>
      </w:r>
      <w:r w:rsidDel="00000000" w:rsidR="00000000" w:rsidRPr="00000000">
        <w:rPr>
          <w:rFonts w:ascii="Times New Roman" w:cs="Times New Roman" w:eastAsia="Times New Roman" w:hAnsi="Times New Roman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Diketonáto-szilol komplexek előállítása és analitikai vizsgálata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Preparation and analytical studies of diketonato-silole complexes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283.46456692913375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Borbás Balázs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Felkonvertáló részecskék és kitozánnal alkotott kompozit bevonataik előállítása és vizsgálata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Synthesis and characterization of upconverting nanoparticles and their chitosan composite layers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8.6614173228347" w:right="0" w:hanging="283.46456692913375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Szabó Renáta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Tiolok és származékaik multikomponensű szintézise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Times New Roman" w:cs="Times New Roman" w:eastAsia="Times New Roman" w:hAnsi="Times New Roman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highlight w:val="white"/>
          <w:rtl w:val="0"/>
        </w:rPr>
        <w:t xml:space="preserve">Multicomponent synthesis of thiols and their derivates</w:t>
      </w:r>
    </w:p>
    <w:p w:rsidR="00000000" w:rsidDel="00000000" w:rsidP="00000000" w:rsidRDefault="00000000" w:rsidRPr="00000000" w14:paraId="00000037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60410" cy="30480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04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</w:rPr>
        <w:drawing>
          <wp:inline distB="114300" distT="114300" distL="114300" distR="114300">
            <wp:extent cx="5760410" cy="3238500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rFonts w:ascii="Times New Roman" w:cs="Times New Roman" w:eastAsia="Times New Roman" w:hAnsi="Times New Roman"/>
          <w:b w:val="1"/>
          <w:sz w:val="56"/>
          <w:szCs w:val="5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56"/>
          <w:szCs w:val="56"/>
          <w:rtl w:val="0"/>
        </w:rPr>
        <w:t xml:space="preserve">Köszönjük a részvételi lehetőséget!</w:t>
      </w:r>
    </w:p>
    <w:sectPr>
      <w:pgSz w:h="16838" w:w="11906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hu-H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59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meet.google.com/gfm-tgvd-syu" TargetMode="External"/><Relationship Id="rId11" Type="http://schemas.openxmlformats.org/officeDocument/2006/relationships/image" Target="media/image3.png"/><Relationship Id="rId22" Type="http://schemas.openxmlformats.org/officeDocument/2006/relationships/image" Target="media/image2.png"/><Relationship Id="rId10" Type="http://schemas.openxmlformats.org/officeDocument/2006/relationships/image" Target="media/image6.png"/><Relationship Id="rId21" Type="http://schemas.openxmlformats.org/officeDocument/2006/relationships/image" Target="media/image8.png"/><Relationship Id="rId13" Type="http://schemas.openxmlformats.org/officeDocument/2006/relationships/hyperlink" Target="https://meet.google.com/gfm-tgvd-syu" TargetMode="External"/><Relationship Id="rId12" Type="http://schemas.openxmlformats.org/officeDocument/2006/relationships/hyperlink" Target="https://meet.google.com/gfm-tgvd-syu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hyperlink" Target="https://meet.google.com/aoe-erwn-doe" TargetMode="External"/><Relationship Id="rId14" Type="http://schemas.openxmlformats.org/officeDocument/2006/relationships/hyperlink" Target="https://meet.google.com/gfm-tgvd-syu" TargetMode="External"/><Relationship Id="rId17" Type="http://schemas.openxmlformats.org/officeDocument/2006/relationships/hyperlink" Target="https://meet.google.com/aoe-erwn-doe" TargetMode="External"/><Relationship Id="rId16" Type="http://schemas.openxmlformats.org/officeDocument/2006/relationships/hyperlink" Target="https://meet.google.com/gfm-tgvd-syu" TargetMode="External"/><Relationship Id="rId5" Type="http://schemas.openxmlformats.org/officeDocument/2006/relationships/styles" Target="styles.xml"/><Relationship Id="rId19" Type="http://schemas.openxmlformats.org/officeDocument/2006/relationships/hyperlink" Target="https://meet.google.com/mtz-nkmd-mmz" TargetMode="External"/><Relationship Id="rId6" Type="http://schemas.openxmlformats.org/officeDocument/2006/relationships/image" Target="media/image5.png"/><Relationship Id="rId18" Type="http://schemas.openxmlformats.org/officeDocument/2006/relationships/hyperlink" Target="https://meet.google.com/mtz-nkmd-mmz" TargetMode="Externa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